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C3" w:rsidRDefault="007C6EC3">
      <w:pPr>
        <w:pStyle w:val="a4"/>
        <w:spacing w:before="0"/>
        <w:ind w:leftChars="700" w:left="2381" w:firstLine="0"/>
        <w:rPr>
          <w:bCs/>
          <w:snapToGrid/>
          <w:kern w:val="0"/>
          <w:sz w:val="40"/>
        </w:rPr>
      </w:pPr>
      <w:r>
        <w:rPr>
          <w:rFonts w:hint="eastAsia"/>
          <w:bCs/>
          <w:snapToGrid/>
          <w:spacing w:val="200"/>
          <w:kern w:val="0"/>
          <w:sz w:val="40"/>
        </w:rPr>
        <w:t>糾正案文</w:t>
      </w:r>
    </w:p>
    <w:p w:rsidR="007C6EC3" w:rsidRDefault="007C6EC3">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94EDB">
        <w:rPr>
          <w:rFonts w:hint="eastAsia"/>
        </w:rPr>
        <w:t>國防部</w:t>
      </w:r>
      <w:r>
        <w:rPr>
          <w:rFonts w:hint="eastAsia"/>
        </w:rPr>
        <w:t>。</w:t>
      </w:r>
    </w:p>
    <w:p w:rsidR="007C6EC3" w:rsidRDefault="007C6EC3" w:rsidP="00332B3B">
      <w:pPr>
        <w:pStyle w:val="1"/>
        <w:overflowPunct w:val="0"/>
        <w:ind w:left="2722" w:hanging="2722"/>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394EDB">
        <w:rPr>
          <w:rFonts w:hint="eastAsia"/>
          <w:noProof/>
        </w:rPr>
        <w:t>國防部身為</w:t>
      </w:r>
      <w:r w:rsidR="00F96298" w:rsidRPr="00853055">
        <w:rPr>
          <w:rFonts w:hint="eastAsia"/>
          <w:noProof/>
        </w:rPr>
        <w:t>台中市大鵬新城社區</w:t>
      </w:r>
      <w:r w:rsidR="00E77E56" w:rsidRPr="00853055">
        <w:rPr>
          <w:rFonts w:hint="eastAsia"/>
          <w:noProof/>
        </w:rPr>
        <w:t>眷村改建工程</w:t>
      </w:r>
      <w:r w:rsidR="00394EDB">
        <w:rPr>
          <w:rFonts w:hint="eastAsia"/>
          <w:noProof/>
        </w:rPr>
        <w:t>之起造人，遲至100年</w:t>
      </w:r>
      <w:r w:rsidR="00F73AEF">
        <w:rPr>
          <w:rFonts w:hint="eastAsia"/>
          <w:noProof/>
        </w:rPr>
        <w:t>8</w:t>
      </w:r>
      <w:r w:rsidR="00394EDB">
        <w:rPr>
          <w:rFonts w:hint="eastAsia"/>
          <w:noProof/>
        </w:rPr>
        <w:t>月</w:t>
      </w:r>
      <w:r w:rsidR="00F73AEF">
        <w:rPr>
          <w:rFonts w:hint="eastAsia"/>
          <w:noProof/>
        </w:rPr>
        <w:t>底</w:t>
      </w:r>
      <w:r w:rsidR="00394EDB">
        <w:rPr>
          <w:rFonts w:hint="eastAsia"/>
          <w:noProof/>
        </w:rPr>
        <w:t>始將該社區之</w:t>
      </w:r>
      <w:r w:rsidR="00394EDB">
        <w:rPr>
          <w:rFonts w:hint="eastAsia"/>
        </w:rPr>
        <w:t>消防設備移交予大鵬新城管理委員會</w:t>
      </w:r>
      <w:r w:rsidR="00394EDB">
        <w:rPr>
          <w:rFonts w:hint="eastAsia"/>
          <w:noProof/>
        </w:rPr>
        <w:t>，致</w:t>
      </w:r>
      <w:r w:rsidR="00B61AB6">
        <w:rPr>
          <w:rFonts w:hint="eastAsia"/>
          <w:noProof/>
        </w:rPr>
        <w:t>該社區</w:t>
      </w:r>
      <w:r w:rsidR="00394EDB">
        <w:rPr>
          <w:rFonts w:hint="eastAsia"/>
          <w:noProof/>
        </w:rPr>
        <w:t>5年多來未有合格之消防設備</w:t>
      </w:r>
      <w:r w:rsidR="00394EDB">
        <w:rPr>
          <w:rFonts w:hint="eastAsia"/>
        </w:rPr>
        <w:t>，枉顧人民生命財產安全</w:t>
      </w:r>
      <w:r w:rsidR="00394EDB">
        <w:rPr>
          <w:rFonts w:hint="eastAsia"/>
          <w:noProof/>
        </w:rPr>
        <w:t>，</w:t>
      </w:r>
      <w:r w:rsidR="00F96298">
        <w:rPr>
          <w:rFonts w:hint="eastAsia"/>
          <w:noProof/>
        </w:rPr>
        <w:t>且迄</w:t>
      </w:r>
      <w:r w:rsidR="00332B3B">
        <w:rPr>
          <w:rFonts w:hint="eastAsia"/>
          <w:noProof/>
        </w:rPr>
        <w:t>今</w:t>
      </w:r>
      <w:r w:rsidR="00F96298">
        <w:rPr>
          <w:rFonts w:hint="eastAsia"/>
          <w:noProof/>
        </w:rPr>
        <w:t>仍未能完成</w:t>
      </w:r>
      <w:r w:rsidR="00B61AB6">
        <w:rPr>
          <w:rFonts w:hint="eastAsia"/>
          <w:noProof/>
        </w:rPr>
        <w:t>該社區之</w:t>
      </w:r>
      <w:r w:rsidR="00F96298">
        <w:rPr>
          <w:rFonts w:hint="eastAsia"/>
        </w:rPr>
        <w:t>公共設施點交作業</w:t>
      </w:r>
      <w:r w:rsidR="00F96298">
        <w:rPr>
          <w:rFonts w:hint="eastAsia"/>
          <w:noProof/>
        </w:rPr>
        <w:t>，</w:t>
      </w:r>
      <w:r w:rsidR="00394EDB">
        <w:rPr>
          <w:rFonts w:hint="eastAsia"/>
          <w:noProof/>
        </w:rPr>
        <w:t>核有怠失。</w:t>
      </w:r>
    </w:p>
    <w:p w:rsidR="007C6EC3" w:rsidRDefault="007C6EC3">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C6EC3" w:rsidRDefault="008F337C" w:rsidP="00C54B21">
      <w:pPr>
        <w:pStyle w:val="11"/>
        <w:overflowPunct w:val="0"/>
        <w:ind w:left="680" w:firstLine="680"/>
      </w:pPr>
      <w:bookmarkStart w:id="33" w:name="_Toc524892372"/>
      <w:bookmarkStart w:id="34" w:name="_Toc525066144"/>
      <w:bookmarkStart w:id="35" w:name="_Toc525070834"/>
      <w:bookmarkStart w:id="36" w:name="_Toc525938374"/>
      <w:bookmarkStart w:id="37" w:name="_Toc525939222"/>
      <w:bookmarkStart w:id="38" w:name="_Toc525939727"/>
      <w:r>
        <w:rPr>
          <w:rFonts w:hint="eastAsia"/>
        </w:rPr>
        <w:t>本案係陳訴人陳訴：</w:t>
      </w:r>
      <w:r w:rsidRPr="00853055">
        <w:rPr>
          <w:rFonts w:hint="eastAsia"/>
          <w:noProof/>
        </w:rPr>
        <w:t>台中市大鵬新城社區眷村改建工程</w:t>
      </w:r>
      <w:r>
        <w:rPr>
          <w:rFonts w:hint="eastAsia"/>
          <w:noProof/>
        </w:rPr>
        <w:t>(下稱</w:t>
      </w:r>
      <w:r w:rsidRPr="00853055">
        <w:rPr>
          <w:rFonts w:hint="eastAsia"/>
          <w:noProof/>
        </w:rPr>
        <w:t>大鵬新城</w:t>
      </w:r>
      <w:r>
        <w:rPr>
          <w:rFonts w:hint="eastAsia"/>
          <w:noProof/>
        </w:rPr>
        <w:t>)</w:t>
      </w:r>
      <w:r w:rsidRPr="00853055">
        <w:rPr>
          <w:rFonts w:hint="eastAsia"/>
          <w:noProof/>
        </w:rPr>
        <w:t>，完工迄今已歷5年餘，惟國防部就該社區之公共設施仍未完成點交作業，造成該社區無法依公寓大廈管理條例成立管理委員會及申領補助款</w:t>
      </w:r>
      <w:r>
        <w:rPr>
          <w:rFonts w:hint="eastAsia"/>
          <w:noProof/>
        </w:rPr>
        <w:t>等情。</w:t>
      </w:r>
      <w:r w:rsidR="00D155A6">
        <w:rPr>
          <w:rFonts w:hint="eastAsia"/>
          <w:noProof/>
        </w:rPr>
        <w:t>案</w:t>
      </w:r>
      <w:r w:rsidR="00D155A6">
        <w:rPr>
          <w:rFonts w:hint="eastAsia"/>
        </w:rPr>
        <w:t>經本院調查竣事，</w:t>
      </w:r>
      <w:r w:rsidR="008A17E4">
        <w:rPr>
          <w:rFonts w:hAnsi="標楷體" w:hint="eastAsia"/>
        </w:rPr>
        <w:t>綜整</w:t>
      </w:r>
      <w:r w:rsidR="00C54B21">
        <w:rPr>
          <w:rFonts w:hint="eastAsia"/>
        </w:rPr>
        <w:t>國防部</w:t>
      </w:r>
      <w:r w:rsidR="008A17E4">
        <w:rPr>
          <w:rFonts w:hAnsi="標楷體" w:hint="eastAsia"/>
          <w:color w:val="000000"/>
          <w:szCs w:val="22"/>
        </w:rPr>
        <w:t>所涉疏失如下</w:t>
      </w:r>
      <w:r w:rsidR="008A17E4">
        <w:rPr>
          <w:rFonts w:hint="eastAsia"/>
        </w:rPr>
        <w:t>：</w:t>
      </w:r>
    </w:p>
    <w:p w:rsidR="00CC6933" w:rsidRDefault="00CC6933" w:rsidP="00CC6933">
      <w:pPr>
        <w:pStyle w:val="2"/>
        <w:wordWrap w:val="0"/>
        <w:ind w:left="1020" w:hanging="680"/>
      </w:pPr>
      <w:r>
        <w:rPr>
          <w:rFonts w:hint="eastAsia"/>
          <w:noProof/>
        </w:rPr>
        <w:t>國防部身為</w:t>
      </w:r>
      <w:r w:rsidRPr="00853055">
        <w:rPr>
          <w:rFonts w:hint="eastAsia"/>
          <w:noProof/>
        </w:rPr>
        <w:t>大鵬新城</w:t>
      </w:r>
      <w:r>
        <w:rPr>
          <w:rFonts w:hint="eastAsia"/>
          <w:noProof/>
        </w:rPr>
        <w:t>之起造人，遲至100年</w:t>
      </w:r>
      <w:r w:rsidR="00AD5C2F">
        <w:rPr>
          <w:rFonts w:hint="eastAsia"/>
          <w:noProof/>
        </w:rPr>
        <w:t>8</w:t>
      </w:r>
      <w:r>
        <w:rPr>
          <w:rFonts w:hint="eastAsia"/>
          <w:noProof/>
        </w:rPr>
        <w:t>月</w:t>
      </w:r>
      <w:r w:rsidR="00AD5C2F">
        <w:rPr>
          <w:rFonts w:hint="eastAsia"/>
          <w:noProof/>
        </w:rPr>
        <w:t>底</w:t>
      </w:r>
      <w:r>
        <w:rPr>
          <w:rFonts w:hint="eastAsia"/>
          <w:noProof/>
        </w:rPr>
        <w:t>始將該社區之</w:t>
      </w:r>
      <w:r>
        <w:rPr>
          <w:rFonts w:hint="eastAsia"/>
        </w:rPr>
        <w:t>消防設備移交予大鵬新城管理委員會</w:t>
      </w:r>
      <w:r>
        <w:rPr>
          <w:rFonts w:hint="eastAsia"/>
          <w:noProof/>
        </w:rPr>
        <w:t>(下稱管委會)，致大鵬新城5年多來未有合格之消防設備</w:t>
      </w:r>
      <w:r>
        <w:rPr>
          <w:rFonts w:hint="eastAsia"/>
        </w:rPr>
        <w:t>，枉顧人民生命財產安全</w:t>
      </w:r>
      <w:r>
        <w:rPr>
          <w:rFonts w:hint="eastAsia"/>
          <w:noProof/>
        </w:rPr>
        <w:t>，核有怠失。該部允應全面檢討改進，以免類似情事再次發生。</w:t>
      </w:r>
    </w:p>
    <w:p w:rsidR="00CC6933" w:rsidRDefault="00CC6933" w:rsidP="00CC6933">
      <w:pPr>
        <w:pStyle w:val="3"/>
        <w:overflowPunct w:val="0"/>
        <w:ind w:left="1360" w:hanging="680"/>
      </w:pPr>
      <w:r>
        <w:rPr>
          <w:rFonts w:hint="eastAsia"/>
        </w:rPr>
        <w:t>按公寓大廈管理條例第57條規定：「起造人應將公寓大廈共用部分、約定共用部分與其附屬設施設備；設施設備使用維護手冊及廠商資料、使用執照謄本、竣工圖說、水電、機械設施、消防及管線圖說，於管理委員會成立或管理負責人推選或指定後</w:t>
      </w:r>
      <w:r w:rsidR="00512EE6">
        <w:rPr>
          <w:rFonts w:hint="eastAsia"/>
        </w:rPr>
        <w:t>七</w:t>
      </w:r>
      <w:r>
        <w:rPr>
          <w:rFonts w:hint="eastAsia"/>
        </w:rPr>
        <w:t>日內會同政府主管機關、公寓大廈管理委員會或管理負責人現場針對水電、機械設施、消防設施及各類管線進行檢測，確認其功能正常無誤後，移交之。」「前項公寓大廈之水電、機械設施、消防設施</w:t>
      </w:r>
      <w:r>
        <w:rPr>
          <w:rFonts w:hint="eastAsia"/>
        </w:rPr>
        <w:lastRenderedPageBreak/>
        <w:t>及各類管線不能通過檢測，或其功能有明顯缺陷者，管理委員會或管理負責人得報請主管機關處理，其歸責起造人者，主管機關命起造人負責修復改善，並於一個月內，起造人再會同管理委員會或管理負責人辦理移交手續。」</w:t>
      </w:r>
    </w:p>
    <w:p w:rsidR="00CC6933" w:rsidRDefault="00CC6933" w:rsidP="00CC6933">
      <w:pPr>
        <w:pStyle w:val="3"/>
        <w:overflowPunct w:val="0"/>
        <w:ind w:left="1360" w:hanging="680"/>
      </w:pPr>
      <w:r>
        <w:rPr>
          <w:rFonts w:hint="eastAsia"/>
        </w:rPr>
        <w:t>經查，大鵬新城於95年4月23日完成房地產權移轉作業後，其第一屆管委會主委因故歷經5次更迭，致未能辦理移交手續，該管委會於96年2月16日始向台中市西屯區公所(下稱區公所)申辦組織報備，嗣因組織報備資料遲遲未予補正，而未能完成組織報備；國防部則以管委會未完成組織報備為由，未及時依公寓大廈管理條例相關規定辦理公共設施檢測及移交事宜。迄96年10月31日管委會經區公所核准第一階段報備後，國防部與管委會始於同年12月10日達成「先會勘、修繕，再點交」、「先消防、污水、機電、監視器、次民生需求」之原則共識，迄97年底雙方歷經8次會議，惟國防部均未能將應進行檢測移交項目詳列清冊，全面進行檢修，並與管委會逐項點交，致延宕而未能完成移交事宜。以上情事，前經本院調查及98年3月19日委員會審議通過，函請國防部檢討辦理在案。</w:t>
      </w:r>
    </w:p>
    <w:p w:rsidR="00CC6933" w:rsidRDefault="00CC6933" w:rsidP="00CC6933">
      <w:pPr>
        <w:pStyle w:val="3"/>
        <w:overflowPunct w:val="0"/>
        <w:ind w:left="1360" w:hanging="680"/>
      </w:pPr>
      <w:r>
        <w:rPr>
          <w:rFonts w:hint="eastAsia"/>
        </w:rPr>
        <w:t>次查，大鵬新城後續公共設施點交事宜於98年間雖</w:t>
      </w:r>
      <w:r w:rsidRPr="003B1C94">
        <w:rPr>
          <w:rFonts w:hint="eastAsia"/>
          <w:u w:color="FF0000"/>
        </w:rPr>
        <w:t>因管委會部分委員及住戶對</w:t>
      </w:r>
      <w:r>
        <w:rPr>
          <w:rFonts w:hint="eastAsia"/>
          <w:u w:color="FF0000"/>
        </w:rPr>
        <w:t>於</w:t>
      </w:r>
      <w:r w:rsidRPr="003B1C94">
        <w:rPr>
          <w:rFonts w:hint="eastAsia"/>
          <w:u w:color="FF0000"/>
        </w:rPr>
        <w:t>共識</w:t>
      </w:r>
      <w:r>
        <w:rPr>
          <w:rFonts w:hint="eastAsia"/>
          <w:u w:color="FF0000"/>
        </w:rPr>
        <w:t>有</w:t>
      </w:r>
      <w:r w:rsidRPr="003B1C94">
        <w:rPr>
          <w:rFonts w:hint="eastAsia"/>
          <w:u w:color="FF0000"/>
        </w:rPr>
        <w:t>反對意見</w:t>
      </w:r>
      <w:r>
        <w:rPr>
          <w:rFonts w:hint="eastAsia"/>
        </w:rPr>
        <w:t>而略有延遲，然管委會於98年10月初完成改選後，國防部即續與管委會協商，並於</w:t>
      </w:r>
      <w:r w:rsidRPr="0071474B">
        <w:rPr>
          <w:rFonts w:hint="eastAsia"/>
          <w:u w:color="000000"/>
        </w:rPr>
        <w:t>98年11月20日決議由第三公證單位</w:t>
      </w:r>
      <w:r>
        <w:rPr>
          <w:rFonts w:hint="eastAsia"/>
          <w:u w:color="000000"/>
        </w:rPr>
        <w:t>-</w:t>
      </w:r>
      <w:r w:rsidRPr="0071474B">
        <w:rPr>
          <w:rFonts w:hint="eastAsia"/>
          <w:u w:color="000000"/>
        </w:rPr>
        <w:t>台灣省建築師公會</w:t>
      </w:r>
      <w:r>
        <w:rPr>
          <w:rFonts w:hint="eastAsia"/>
          <w:u w:color="000000"/>
        </w:rPr>
        <w:t>(下稱</w:t>
      </w:r>
      <w:r w:rsidRPr="0071474B">
        <w:rPr>
          <w:rFonts w:hint="eastAsia"/>
          <w:u w:color="000000"/>
        </w:rPr>
        <w:t>省建築師公會</w:t>
      </w:r>
      <w:r>
        <w:rPr>
          <w:rFonts w:hint="eastAsia"/>
          <w:u w:color="000000"/>
        </w:rPr>
        <w:t>)</w:t>
      </w:r>
      <w:r w:rsidRPr="0071474B">
        <w:rPr>
          <w:rFonts w:hint="eastAsia"/>
          <w:u w:color="000000"/>
        </w:rPr>
        <w:t>實施鑑定，以釐清責任</w:t>
      </w:r>
      <w:r>
        <w:rPr>
          <w:rFonts w:hint="eastAsia"/>
          <w:u w:color="000000"/>
        </w:rPr>
        <w:t>。惟</w:t>
      </w:r>
      <w:r w:rsidRPr="00F72A85">
        <w:rPr>
          <w:rFonts w:hint="eastAsia"/>
          <w:u w:color="000000"/>
        </w:rPr>
        <w:t>「台中市大鵬新城公共設施委託鑑定案」</w:t>
      </w:r>
      <w:r>
        <w:rPr>
          <w:rFonts w:hint="eastAsia"/>
          <w:u w:color="000000"/>
        </w:rPr>
        <w:t>遲至</w:t>
      </w:r>
      <w:r w:rsidRPr="00604A11">
        <w:rPr>
          <w:rFonts w:hint="eastAsia"/>
          <w:u w:color="000000"/>
        </w:rPr>
        <w:t>99年12月31日</w:t>
      </w:r>
      <w:r>
        <w:rPr>
          <w:rFonts w:hint="eastAsia"/>
          <w:u w:color="000000"/>
        </w:rPr>
        <w:t>始</w:t>
      </w:r>
      <w:r w:rsidRPr="00604A11">
        <w:rPr>
          <w:rFonts w:hint="eastAsia"/>
          <w:u w:color="000000"/>
        </w:rPr>
        <w:t>由省建築師公會得標</w:t>
      </w:r>
      <w:r>
        <w:rPr>
          <w:rFonts w:hint="eastAsia"/>
          <w:u w:color="000000"/>
        </w:rPr>
        <w:t>、</w:t>
      </w:r>
      <w:r w:rsidRPr="00604A11">
        <w:rPr>
          <w:rFonts w:hint="eastAsia"/>
          <w:u w:color="000000"/>
        </w:rPr>
        <w:t>100年1月14日完成訂約</w:t>
      </w:r>
      <w:r>
        <w:rPr>
          <w:rFonts w:hint="eastAsia"/>
          <w:u w:color="000000"/>
        </w:rPr>
        <w:t>，省建築師公會則於</w:t>
      </w:r>
      <w:r w:rsidRPr="00236E59">
        <w:rPr>
          <w:rFonts w:hint="eastAsia"/>
          <w:u w:color="000000"/>
        </w:rPr>
        <w:t>100年</w:t>
      </w:r>
      <w:r w:rsidRPr="00236E59">
        <w:rPr>
          <w:u w:color="000000"/>
        </w:rPr>
        <w:t>5</w:t>
      </w:r>
      <w:r w:rsidRPr="00236E59">
        <w:rPr>
          <w:rFonts w:hint="eastAsia"/>
          <w:u w:color="000000"/>
        </w:rPr>
        <w:t>月1</w:t>
      </w:r>
      <w:r w:rsidRPr="00236E59">
        <w:rPr>
          <w:u w:color="000000"/>
        </w:rPr>
        <w:t>0</w:t>
      </w:r>
      <w:r w:rsidRPr="00236E59">
        <w:rPr>
          <w:rFonts w:hint="eastAsia"/>
          <w:u w:color="000000"/>
        </w:rPr>
        <w:t>日</w:t>
      </w:r>
      <w:r>
        <w:rPr>
          <w:rFonts w:hint="eastAsia"/>
          <w:u w:color="000000"/>
        </w:rPr>
        <w:t>完成鑑定。此期間，台中市政府(</w:t>
      </w:r>
      <w:r>
        <w:rPr>
          <w:rFonts w:hint="eastAsia"/>
          <w:u w:color="000000"/>
        </w:rPr>
        <w:lastRenderedPageBreak/>
        <w:t>下稱市府)亦數次召開</w:t>
      </w:r>
      <w:r w:rsidRPr="00747466">
        <w:rPr>
          <w:rFonts w:hint="eastAsia"/>
          <w:u w:color="FF0000"/>
        </w:rPr>
        <w:t>「就市政權責可協助大鵬新城事項」專案座談會</w:t>
      </w:r>
      <w:r>
        <w:rPr>
          <w:rFonts w:hint="eastAsia"/>
          <w:u w:color="FF0000"/>
        </w:rPr>
        <w:t>，除就</w:t>
      </w:r>
      <w:r>
        <w:rPr>
          <w:rFonts w:hint="eastAsia"/>
          <w:u w:color="000000"/>
        </w:rPr>
        <w:t>過往已</w:t>
      </w:r>
      <w:r w:rsidRPr="001A0115">
        <w:rPr>
          <w:rFonts w:hint="eastAsia"/>
          <w:u w:color="000000"/>
        </w:rPr>
        <w:t>點交項目予以確認</w:t>
      </w:r>
      <w:r>
        <w:rPr>
          <w:rFonts w:hint="eastAsia"/>
          <w:u w:color="000000"/>
        </w:rPr>
        <w:t>外，並請國防部研議</w:t>
      </w:r>
      <w:r w:rsidRPr="004C5664">
        <w:rPr>
          <w:rFonts w:hint="eastAsia"/>
          <w:u w:color="000000"/>
        </w:rPr>
        <w:t>「</w:t>
      </w:r>
      <w:r w:rsidRPr="004C5664">
        <w:rPr>
          <w:rFonts w:hint="eastAsia"/>
          <w:u w:color="FF0000"/>
        </w:rPr>
        <w:t>提高效率及縮短期程」</w:t>
      </w:r>
      <w:r>
        <w:rPr>
          <w:rFonts w:hint="eastAsia"/>
          <w:u w:color="000000"/>
        </w:rPr>
        <w:t>。在在顯見該部執行效率不彰，計歷時5年餘，始於100年8月26日將相關消防修繕費用(330萬元)撥予管委會以進行消防設備修繕事宜。</w:t>
      </w:r>
    </w:p>
    <w:p w:rsidR="00CC6933" w:rsidRDefault="00CC6933" w:rsidP="00CC6933">
      <w:pPr>
        <w:pStyle w:val="3"/>
        <w:overflowPunct w:val="0"/>
        <w:ind w:left="1360" w:hanging="680"/>
      </w:pPr>
      <w:r>
        <w:rPr>
          <w:rFonts w:hint="eastAsia"/>
        </w:rPr>
        <w:t>綜上，</w:t>
      </w:r>
      <w:r>
        <w:rPr>
          <w:rFonts w:hint="eastAsia"/>
          <w:noProof/>
        </w:rPr>
        <w:t>國防部身為</w:t>
      </w:r>
      <w:r w:rsidRPr="00853055">
        <w:rPr>
          <w:rFonts w:hint="eastAsia"/>
          <w:noProof/>
        </w:rPr>
        <w:t>大鵬新城</w:t>
      </w:r>
      <w:r>
        <w:rPr>
          <w:rFonts w:hint="eastAsia"/>
          <w:noProof/>
        </w:rPr>
        <w:t>之起造人，大鵬新城於</w:t>
      </w:r>
      <w:r>
        <w:rPr>
          <w:rFonts w:hint="eastAsia"/>
        </w:rPr>
        <w:t>95年4月23日即完成房地產權移轉作業，該部卻</w:t>
      </w:r>
      <w:r>
        <w:rPr>
          <w:rFonts w:hint="eastAsia"/>
          <w:noProof/>
        </w:rPr>
        <w:t>遲未能將</w:t>
      </w:r>
      <w:r>
        <w:rPr>
          <w:rFonts w:hint="eastAsia"/>
        </w:rPr>
        <w:t>消防設備移交予</w:t>
      </w:r>
      <w:r>
        <w:rPr>
          <w:rFonts w:hint="eastAsia"/>
          <w:noProof/>
        </w:rPr>
        <w:t>管委會，案經本院調查要求檢討後，仍延宕2年餘，始於100年8月底完成消防設備移交，致大鵬新城5年多來未有合格之消防設備</w:t>
      </w:r>
      <w:r>
        <w:rPr>
          <w:rFonts w:hint="eastAsia"/>
        </w:rPr>
        <w:t>，枉顧人民生命財產安全</w:t>
      </w:r>
      <w:r>
        <w:rPr>
          <w:rFonts w:hint="eastAsia"/>
          <w:noProof/>
        </w:rPr>
        <w:t>，核有怠失。該部允應全面檢討改進，以免類似情事再次發生。</w:t>
      </w:r>
    </w:p>
    <w:p w:rsidR="00CC6933" w:rsidRDefault="00CC6933" w:rsidP="00CC6933">
      <w:pPr>
        <w:pStyle w:val="2"/>
        <w:wordWrap w:val="0"/>
        <w:ind w:left="1020" w:hanging="680"/>
      </w:pPr>
      <w:r>
        <w:rPr>
          <w:rFonts w:hint="eastAsia"/>
        </w:rPr>
        <w:t>有關消防</w:t>
      </w:r>
      <w:r>
        <w:rPr>
          <w:rFonts w:hint="eastAsia"/>
          <w:noProof/>
        </w:rPr>
        <w:t>設施</w:t>
      </w:r>
      <w:r>
        <w:rPr>
          <w:rFonts w:hint="eastAsia"/>
        </w:rPr>
        <w:t>外之土建項目缺失，國防部允應參酌台灣省</w:t>
      </w:r>
      <w:r>
        <w:rPr>
          <w:rFonts w:hint="eastAsia"/>
          <w:u w:color="000000"/>
        </w:rPr>
        <w:t>建築師公會之鑑定建議</w:t>
      </w:r>
      <w:r>
        <w:rPr>
          <w:rFonts w:hint="eastAsia"/>
        </w:rPr>
        <w:t>，主動積極處理，以確實完成大鵬新城公共設施點交作業。</w:t>
      </w:r>
    </w:p>
    <w:p w:rsidR="00CC6933" w:rsidRDefault="00CC6933" w:rsidP="00CC6933">
      <w:pPr>
        <w:pStyle w:val="3"/>
        <w:overflowPunct w:val="0"/>
        <w:ind w:left="1360" w:hanging="680"/>
      </w:pPr>
      <w:r>
        <w:rPr>
          <w:rFonts w:hint="eastAsia"/>
        </w:rPr>
        <w:t>按前開公寓大廈管理條例相關規定，公共設施之移交，除消防設施外，尚包括「水電、機械設施及各類管線」等等。</w:t>
      </w:r>
    </w:p>
    <w:p w:rsidR="00CC6933" w:rsidRPr="00BA3146" w:rsidRDefault="00CC6933" w:rsidP="00CC6933">
      <w:pPr>
        <w:pStyle w:val="3"/>
        <w:overflowPunct w:val="0"/>
        <w:ind w:left="1360" w:hanging="680"/>
      </w:pPr>
      <w:r>
        <w:rPr>
          <w:rFonts w:hint="eastAsia"/>
        </w:rPr>
        <w:t>經查，</w:t>
      </w:r>
      <w:r>
        <w:rPr>
          <w:rFonts w:hint="eastAsia"/>
          <w:u w:color="000000"/>
        </w:rPr>
        <w:t>「</w:t>
      </w:r>
      <w:r w:rsidRPr="004975D6">
        <w:rPr>
          <w:rFonts w:hint="eastAsia"/>
          <w:u w:color="000000"/>
        </w:rPr>
        <w:t>台中市大鵬新城公共設施委託鑑定案</w:t>
      </w:r>
      <w:r>
        <w:rPr>
          <w:rFonts w:hint="eastAsia"/>
          <w:u w:color="000000"/>
        </w:rPr>
        <w:t>」經省建築師公會完成鑑定後，提出建議略以：</w:t>
      </w:r>
    </w:p>
    <w:p w:rsidR="00CC6933" w:rsidRPr="00BA3146" w:rsidRDefault="00CC6933" w:rsidP="00CC6933">
      <w:pPr>
        <w:pStyle w:val="4"/>
        <w:kinsoku/>
        <w:wordWrap w:val="0"/>
        <w:ind w:left="1700" w:hanging="680"/>
      </w:pPr>
      <w:r w:rsidRPr="00BA3146">
        <w:rPr>
          <w:rFonts w:hint="eastAsia"/>
        </w:rPr>
        <w:t>建議鑑定標的物將</w:t>
      </w:r>
      <w:r>
        <w:rPr>
          <w:rFonts w:hint="eastAsia"/>
        </w:rPr>
        <w:t>(</w:t>
      </w:r>
      <w:r>
        <w:rPr>
          <w:rFonts w:hint="eastAsia"/>
          <w:u w:color="000000"/>
        </w:rPr>
        <w:t>鑑定</w:t>
      </w:r>
      <w:r>
        <w:rPr>
          <w:rFonts w:hint="eastAsia"/>
        </w:rPr>
        <w:t>)</w:t>
      </w:r>
      <w:r w:rsidRPr="00BA3146">
        <w:rPr>
          <w:rFonts w:hint="eastAsia"/>
        </w:rPr>
        <w:t>缺失修復後點交</w:t>
      </w:r>
      <w:r>
        <w:rPr>
          <w:rFonts w:hint="eastAsia"/>
        </w:rPr>
        <w:t>管</w:t>
      </w:r>
      <w:r w:rsidRPr="00BA3146">
        <w:rPr>
          <w:rFonts w:hint="eastAsia"/>
        </w:rPr>
        <w:t>委會正常運作及維護，以維持社區公共安全、衛生與生活環境品質。</w:t>
      </w:r>
    </w:p>
    <w:p w:rsidR="00CC6933" w:rsidRPr="00FD5AC6" w:rsidRDefault="00CC6933" w:rsidP="00CC6933">
      <w:pPr>
        <w:pStyle w:val="4"/>
        <w:kinsoku/>
        <w:wordWrap w:val="0"/>
        <w:ind w:leftChars="300" w:left="1700" w:hangingChars="200" w:hanging="680"/>
      </w:pPr>
      <w:r w:rsidRPr="00FD5AC6">
        <w:rPr>
          <w:rFonts w:hint="eastAsia"/>
        </w:rPr>
        <w:t>建議起造人</w:t>
      </w:r>
      <w:r w:rsidRPr="00FD5AC6">
        <w:t>(</w:t>
      </w:r>
      <w:r w:rsidRPr="00FD5AC6">
        <w:rPr>
          <w:rFonts w:hint="eastAsia"/>
        </w:rPr>
        <w:t>國防部、營建署、承包商及監造單位等)儘速輔導該社區建立並養成維護公共設施及設備正常運作，避免因而發生不可預期之災變。</w:t>
      </w:r>
    </w:p>
    <w:p w:rsidR="00CC6933" w:rsidRPr="00FD5AC6" w:rsidRDefault="00CC6933" w:rsidP="001400E7">
      <w:pPr>
        <w:pStyle w:val="4"/>
        <w:kinsoku/>
        <w:ind w:leftChars="300" w:left="1700" w:hangingChars="200" w:hanging="680"/>
      </w:pPr>
      <w:r w:rsidRPr="00FD5AC6">
        <w:rPr>
          <w:rFonts w:hint="eastAsia"/>
        </w:rPr>
        <w:t>依</w:t>
      </w:r>
      <w:r w:rsidR="008F74D1">
        <w:rPr>
          <w:rFonts w:hint="eastAsia"/>
        </w:rPr>
        <w:t>國防</w:t>
      </w:r>
      <w:r w:rsidR="008F74D1" w:rsidRPr="00FD5AC6">
        <w:rPr>
          <w:rFonts w:hint="eastAsia"/>
        </w:rPr>
        <w:t>部總</w:t>
      </w:r>
      <w:r w:rsidR="008F74D1">
        <w:rPr>
          <w:rFonts w:hint="eastAsia"/>
        </w:rPr>
        <w:t>政</w:t>
      </w:r>
      <w:r w:rsidR="008F74D1" w:rsidRPr="00FD5AC6">
        <w:rPr>
          <w:rFonts w:hint="eastAsia"/>
        </w:rPr>
        <w:t>戰局</w:t>
      </w:r>
      <w:r w:rsidRPr="00FD5AC6">
        <w:rPr>
          <w:rFonts w:hint="eastAsia"/>
        </w:rPr>
        <w:t>94年10月7日函示該社區已於94年10月1目完成交屋作業，</w:t>
      </w:r>
      <w:r>
        <w:rPr>
          <w:rFonts w:hint="eastAsia"/>
        </w:rPr>
        <w:t>管</w:t>
      </w:r>
      <w:r w:rsidRPr="00FD5AC6">
        <w:rPr>
          <w:rFonts w:hint="eastAsia"/>
        </w:rPr>
        <w:t>委會應積極並確實負起維持社區公共安全、衛生與生活環境品質。</w:t>
      </w:r>
    </w:p>
    <w:p w:rsidR="00CC6933" w:rsidRPr="00FD5AC6" w:rsidRDefault="00CC6933" w:rsidP="00CC6933">
      <w:pPr>
        <w:pStyle w:val="4"/>
        <w:kinsoku/>
        <w:wordWrap w:val="0"/>
        <w:ind w:leftChars="300" w:left="1700" w:hangingChars="200" w:hanging="680"/>
      </w:pPr>
      <w:r w:rsidRPr="00FD5AC6">
        <w:rPr>
          <w:rFonts w:hint="eastAsia"/>
        </w:rPr>
        <w:lastRenderedPageBreak/>
        <w:t>建議鑑定標的物缺失優先修復項目：</w:t>
      </w:r>
    </w:p>
    <w:p w:rsidR="00CC6933" w:rsidRPr="00FD5AC6" w:rsidRDefault="00CC6933" w:rsidP="00CC6933">
      <w:pPr>
        <w:pStyle w:val="5"/>
        <w:wordWrap w:val="0"/>
        <w:ind w:left="2041" w:hanging="680"/>
      </w:pPr>
      <w:r w:rsidRPr="00FD5AC6">
        <w:rPr>
          <w:rFonts w:hint="eastAsia"/>
        </w:rPr>
        <w:t>影響公共安全部分：如消防、昇降設備等。</w:t>
      </w:r>
    </w:p>
    <w:p w:rsidR="00CC6933" w:rsidRPr="00FD5AC6" w:rsidRDefault="00CC6933" w:rsidP="00CC6933">
      <w:pPr>
        <w:pStyle w:val="5"/>
        <w:wordWrap w:val="0"/>
        <w:ind w:leftChars="400" w:left="2041" w:hangingChars="200" w:hanging="680"/>
      </w:pPr>
      <w:r w:rsidRPr="00FD5AC6">
        <w:rPr>
          <w:rFonts w:hint="eastAsia"/>
        </w:rPr>
        <w:t>影響公共衛生部分：如生活污水設備等。</w:t>
      </w:r>
    </w:p>
    <w:p w:rsidR="00CC6933" w:rsidRPr="00FD5AC6" w:rsidRDefault="00CC6933" w:rsidP="00CC6933">
      <w:pPr>
        <w:pStyle w:val="4"/>
        <w:kinsoku/>
        <w:wordWrap w:val="0"/>
        <w:ind w:leftChars="300" w:left="1700" w:hangingChars="200" w:hanging="680"/>
      </w:pPr>
      <w:r w:rsidRPr="00FD5AC6">
        <w:rPr>
          <w:rFonts w:hint="eastAsia"/>
        </w:rPr>
        <w:t>建議鑑定標的物缺失修復比例：</w:t>
      </w:r>
    </w:p>
    <w:p w:rsidR="00CC6933" w:rsidRPr="009114C0" w:rsidRDefault="00CC6933" w:rsidP="00CC6933">
      <w:pPr>
        <w:pStyle w:val="5"/>
        <w:wordWrap w:val="0"/>
        <w:ind w:left="2041" w:hanging="680"/>
      </w:pPr>
      <w:r w:rsidRPr="009114C0">
        <w:rPr>
          <w:rFonts w:hint="eastAsia"/>
        </w:rPr>
        <w:t>建議由起造人</w:t>
      </w:r>
      <w:r w:rsidRPr="009114C0">
        <w:t>(</w:t>
      </w:r>
      <w:r w:rsidRPr="009114C0">
        <w:rPr>
          <w:rFonts w:hint="eastAsia"/>
        </w:rPr>
        <w:t>國防部、營建署、承包商及監造單位等)全額負擔部分：</w:t>
      </w:r>
    </w:p>
    <w:p w:rsidR="00CC6933" w:rsidRPr="003B53C7" w:rsidRDefault="00CC6933" w:rsidP="00CC6933">
      <w:pPr>
        <w:pStyle w:val="6"/>
        <w:wordWrap w:val="0"/>
        <w:ind w:left="2381" w:hanging="680"/>
      </w:pPr>
      <w:r w:rsidRPr="003B53C7">
        <w:rPr>
          <w:rFonts w:hint="eastAsia"/>
        </w:rPr>
        <w:t>龜裂超過2~3mm以上屬結構性裂縫需以結構性補強者。</w:t>
      </w:r>
    </w:p>
    <w:p w:rsidR="00CC6933" w:rsidRPr="003B53C7" w:rsidRDefault="00CC6933" w:rsidP="00CC6933">
      <w:pPr>
        <w:pStyle w:val="6"/>
        <w:wordWrap w:val="0"/>
        <w:ind w:leftChars="500" w:left="2381" w:hangingChars="200" w:hanging="680"/>
      </w:pPr>
      <w:r w:rsidRPr="003B53C7">
        <w:rPr>
          <w:rFonts w:hint="eastAsia"/>
        </w:rPr>
        <w:t>平頂、牆、地坪、水箱及花台滲漏水者。</w:t>
      </w:r>
    </w:p>
    <w:p w:rsidR="00CC6933" w:rsidRPr="003B53C7" w:rsidRDefault="00CC6933" w:rsidP="00CC6933">
      <w:pPr>
        <w:pStyle w:val="6"/>
        <w:wordWrap w:val="0"/>
        <w:ind w:leftChars="500" w:left="2381" w:hangingChars="200" w:hanging="680"/>
      </w:pPr>
      <w:r w:rsidRPr="003B53C7">
        <w:rPr>
          <w:rFonts w:hint="eastAsia"/>
        </w:rPr>
        <w:t>牆及地坪磁磚龜裂、空心、凸出者。</w:t>
      </w:r>
    </w:p>
    <w:p w:rsidR="00CC6933" w:rsidRPr="003B53C7" w:rsidRDefault="00CC6933" w:rsidP="00CC6933">
      <w:pPr>
        <w:pStyle w:val="6"/>
        <w:wordWrap w:val="0"/>
        <w:ind w:leftChars="500" w:left="2381" w:hangingChars="200" w:hanging="680"/>
      </w:pPr>
      <w:r w:rsidRPr="003B53C7">
        <w:rPr>
          <w:rFonts w:hint="eastAsia"/>
        </w:rPr>
        <w:t>花崗岩脫落、污損者。</w:t>
      </w:r>
    </w:p>
    <w:p w:rsidR="00CC6933" w:rsidRPr="003B53C7" w:rsidRDefault="00CC6933" w:rsidP="00CC6933">
      <w:pPr>
        <w:pStyle w:val="6"/>
        <w:wordWrap w:val="0"/>
        <w:ind w:leftChars="500" w:left="2381" w:hangingChars="200" w:hanging="680"/>
      </w:pPr>
      <w:r w:rsidRPr="003B53C7">
        <w:rPr>
          <w:rFonts w:hint="eastAsia"/>
        </w:rPr>
        <w:t>庭園燈鏽蝕、剝落者。</w:t>
      </w:r>
    </w:p>
    <w:p w:rsidR="00CC6933" w:rsidRPr="003B53C7" w:rsidRDefault="00CC6933" w:rsidP="00CC6933">
      <w:pPr>
        <w:pStyle w:val="6"/>
        <w:wordWrap w:val="0"/>
        <w:ind w:leftChars="500" w:left="2381" w:hangingChars="200" w:hanging="680"/>
      </w:pPr>
      <w:r w:rsidRPr="003B53C7">
        <w:rPr>
          <w:rFonts w:hint="eastAsia"/>
        </w:rPr>
        <w:t>機電、消防、昇降及給排生活污水等設備屬非耗材故障、規格與圖說不符與現場無此設備者。</w:t>
      </w:r>
    </w:p>
    <w:p w:rsidR="00CC6933" w:rsidRPr="00424F33" w:rsidRDefault="00CC6933" w:rsidP="00CC6933">
      <w:pPr>
        <w:pStyle w:val="5"/>
        <w:wordWrap w:val="0"/>
        <w:ind w:left="2041" w:hanging="680"/>
      </w:pPr>
      <w:r w:rsidRPr="00424F33">
        <w:rPr>
          <w:rFonts w:hint="eastAsia"/>
        </w:rPr>
        <w:t>因公共設施未正式書面點交，建議由起造人</w:t>
      </w:r>
      <w:r w:rsidRPr="00424F33">
        <w:t>(</w:t>
      </w:r>
      <w:r w:rsidRPr="00424F33">
        <w:rPr>
          <w:rFonts w:hint="eastAsia"/>
        </w:rPr>
        <w:t>國防部、營建署、承包商及監造單位等)及該社區委員會各負擔50%部分：</w:t>
      </w:r>
    </w:p>
    <w:p w:rsidR="00CC6933" w:rsidRPr="003B53C7" w:rsidRDefault="00CC6933" w:rsidP="00CC6933">
      <w:pPr>
        <w:pStyle w:val="6"/>
        <w:wordWrap w:val="0"/>
        <w:ind w:leftChars="500" w:left="2381" w:hangingChars="200" w:hanging="680"/>
      </w:pPr>
      <w:r w:rsidRPr="003B53C7">
        <w:rPr>
          <w:rFonts w:hint="eastAsia"/>
        </w:rPr>
        <w:t>龜裂未超過2~3mm非屬結構性裂縫只需批土粉刷者，超過2mm非屬結構性裂縫需打除或以V型槽處理後再批土粉刷。</w:t>
      </w:r>
    </w:p>
    <w:p w:rsidR="00CC6933" w:rsidRDefault="00CC6933" w:rsidP="00CC6933">
      <w:pPr>
        <w:pStyle w:val="6"/>
        <w:wordWrap w:val="0"/>
        <w:ind w:leftChars="500" w:left="2381" w:hangingChars="200" w:hanging="680"/>
      </w:pPr>
      <w:r w:rsidRPr="003B53C7">
        <w:rPr>
          <w:rFonts w:hint="eastAsia"/>
        </w:rPr>
        <w:t>機電、消防、昇降及給排生活污水等設備屬正常耗材故障與經外在因素外觀損傷者。</w:t>
      </w:r>
    </w:p>
    <w:p w:rsidR="00CC6933" w:rsidRDefault="00CC6933" w:rsidP="00CC6933">
      <w:pPr>
        <w:pStyle w:val="30"/>
        <w:ind w:left="1361" w:firstLine="680"/>
      </w:pPr>
      <w:r>
        <w:rPr>
          <w:rFonts w:hint="eastAsia"/>
        </w:rPr>
        <w:t>惟因上開</w:t>
      </w:r>
      <w:r>
        <w:rPr>
          <w:rFonts w:hint="eastAsia"/>
          <w:u w:color="000000"/>
        </w:rPr>
        <w:t>省建築師公會之鑑定結果未有相關估價資料，且其</w:t>
      </w:r>
      <w:r w:rsidRPr="00C12BF6">
        <w:rPr>
          <w:rFonts w:hint="eastAsia"/>
        </w:rPr>
        <w:t>服務費用</w:t>
      </w:r>
      <w:r>
        <w:rPr>
          <w:rFonts w:hint="eastAsia"/>
        </w:rPr>
        <w:t>報價</w:t>
      </w:r>
      <w:r w:rsidRPr="00C12BF6">
        <w:rPr>
          <w:rFonts w:hint="eastAsia"/>
        </w:rPr>
        <w:t>過高</w:t>
      </w:r>
      <w:r>
        <w:rPr>
          <w:rFonts w:hint="eastAsia"/>
        </w:rPr>
        <w:t>(</w:t>
      </w:r>
      <w:r w:rsidRPr="00C12BF6">
        <w:t>619</w:t>
      </w:r>
      <w:r w:rsidRPr="00C12BF6">
        <w:rPr>
          <w:rFonts w:hint="eastAsia"/>
        </w:rPr>
        <w:t>萬</w:t>
      </w:r>
      <w:r w:rsidRPr="00C12BF6">
        <w:t>8</w:t>
      </w:r>
      <w:r>
        <w:rPr>
          <w:rFonts w:hint="eastAsia"/>
        </w:rPr>
        <w:t>,</w:t>
      </w:r>
      <w:r w:rsidRPr="00C12BF6">
        <w:t>815</w:t>
      </w:r>
      <w:r w:rsidRPr="00C12BF6">
        <w:rPr>
          <w:rFonts w:hint="eastAsia"/>
        </w:rPr>
        <w:t>元</w:t>
      </w:r>
      <w:r>
        <w:rPr>
          <w:rFonts w:hint="eastAsia"/>
        </w:rPr>
        <w:t>)</w:t>
      </w:r>
      <w:r w:rsidRPr="00C12BF6">
        <w:rPr>
          <w:rFonts w:hint="eastAsia"/>
        </w:rPr>
        <w:t>，</w:t>
      </w:r>
      <w:r>
        <w:rPr>
          <w:rFonts w:hint="eastAsia"/>
        </w:rPr>
        <w:t>國防部遂</w:t>
      </w:r>
      <w:r w:rsidRPr="00C12BF6">
        <w:rPr>
          <w:rFonts w:hint="eastAsia"/>
        </w:rPr>
        <w:t>請</w:t>
      </w:r>
      <w:r>
        <w:rPr>
          <w:rFonts w:hint="eastAsia"/>
        </w:rPr>
        <w:t>該</w:t>
      </w:r>
      <w:r w:rsidRPr="00C12BF6">
        <w:rPr>
          <w:rFonts w:hint="eastAsia"/>
        </w:rPr>
        <w:t>公會重新評估</w:t>
      </w:r>
      <w:r>
        <w:rPr>
          <w:rFonts w:hint="eastAsia"/>
        </w:rPr>
        <w:t>。</w:t>
      </w:r>
    </w:p>
    <w:p w:rsidR="00CC6933" w:rsidRDefault="00CC6933" w:rsidP="00CC6933">
      <w:pPr>
        <w:pStyle w:val="3"/>
        <w:overflowPunct w:val="0"/>
        <w:ind w:left="1360" w:hanging="680"/>
      </w:pPr>
      <w:r>
        <w:rPr>
          <w:rFonts w:hint="eastAsia"/>
        </w:rPr>
        <w:t>另依100年8月16日台中市100年度公寓大廈爭議事件調處委員會第4次會議紀錄結論，大鵬新城公共設施除前述消防</w:t>
      </w:r>
      <w:r>
        <w:rPr>
          <w:rFonts w:hint="eastAsia"/>
          <w:noProof/>
        </w:rPr>
        <w:t>設施</w:t>
      </w:r>
      <w:r>
        <w:rPr>
          <w:rFonts w:hint="eastAsia"/>
        </w:rPr>
        <w:t>外之土建項目缺失，請國防部會同管委會及建築師公會建築師於2個月內釐清責任</w:t>
      </w:r>
      <w:r>
        <w:rPr>
          <w:rFonts w:hint="eastAsia"/>
        </w:rPr>
        <w:lastRenderedPageBreak/>
        <w:t>歸屬，並儘速依權責處理後續問題。嗣因</w:t>
      </w:r>
      <w:r w:rsidRPr="00FB32DB">
        <w:rPr>
          <w:rFonts w:hint="eastAsia"/>
        </w:rPr>
        <w:t>管委會對</w:t>
      </w:r>
      <w:r>
        <w:rPr>
          <w:rFonts w:hint="eastAsia"/>
        </w:rPr>
        <w:t>前述</w:t>
      </w:r>
      <w:r w:rsidRPr="00FB32DB">
        <w:rPr>
          <w:rFonts w:hint="eastAsia"/>
        </w:rPr>
        <w:t>調解結論表示不認同，</w:t>
      </w:r>
      <w:r>
        <w:rPr>
          <w:rFonts w:hint="eastAsia"/>
        </w:rPr>
        <w:t>再向</w:t>
      </w:r>
      <w:r w:rsidRPr="00FB32DB">
        <w:rPr>
          <w:rFonts w:hint="eastAsia"/>
        </w:rPr>
        <w:t>市府申請第</w:t>
      </w:r>
      <w:r w:rsidRPr="00FB32DB">
        <w:t>2</w:t>
      </w:r>
      <w:r w:rsidRPr="00FB32DB">
        <w:rPr>
          <w:rFonts w:hint="eastAsia"/>
        </w:rPr>
        <w:t>次調解，該府</w:t>
      </w:r>
      <w:r>
        <w:rPr>
          <w:rFonts w:hint="eastAsia"/>
        </w:rPr>
        <w:t>則</w:t>
      </w:r>
      <w:r w:rsidRPr="00FB32DB">
        <w:rPr>
          <w:rFonts w:hint="eastAsia"/>
        </w:rPr>
        <w:t>於</w:t>
      </w:r>
      <w:r w:rsidRPr="00FB32DB">
        <w:t>100</w:t>
      </w:r>
      <w:r w:rsidRPr="00FB32DB">
        <w:rPr>
          <w:rFonts w:hint="eastAsia"/>
        </w:rPr>
        <w:t>年</w:t>
      </w:r>
      <w:r w:rsidRPr="00FB32DB">
        <w:t>9</w:t>
      </w:r>
      <w:r w:rsidRPr="00FB32DB">
        <w:rPr>
          <w:rFonts w:hint="eastAsia"/>
        </w:rPr>
        <w:t>月</w:t>
      </w:r>
      <w:r w:rsidRPr="00FB32DB">
        <w:t>2</w:t>
      </w:r>
      <w:r w:rsidRPr="00FB32DB">
        <w:rPr>
          <w:rFonts w:hint="eastAsia"/>
        </w:rPr>
        <w:t>日召開第</w:t>
      </w:r>
      <w:r w:rsidRPr="00FB32DB">
        <w:t>2</w:t>
      </w:r>
      <w:r w:rsidRPr="00FB32DB">
        <w:rPr>
          <w:rFonts w:hint="eastAsia"/>
        </w:rPr>
        <w:t>次調解會議，結論略以</w:t>
      </w:r>
      <w:r>
        <w:rPr>
          <w:rFonts w:hint="eastAsia"/>
        </w:rPr>
        <w:t>：</w:t>
      </w:r>
      <w:r w:rsidRPr="007F2031">
        <w:rPr>
          <w:rFonts w:hint="eastAsia"/>
        </w:rPr>
        <w:t>請國防部於</w:t>
      </w:r>
      <w:r w:rsidRPr="007F2031">
        <w:t>100</w:t>
      </w:r>
      <w:r w:rsidRPr="007F2031">
        <w:rPr>
          <w:rFonts w:hint="eastAsia"/>
        </w:rPr>
        <w:t>年</w:t>
      </w:r>
      <w:r w:rsidRPr="007F2031">
        <w:t>12</w:t>
      </w:r>
      <w:r w:rsidRPr="007F2031">
        <w:rPr>
          <w:rFonts w:hint="eastAsia"/>
        </w:rPr>
        <w:t>月</w:t>
      </w:r>
      <w:r w:rsidRPr="007F2031">
        <w:t>31</w:t>
      </w:r>
      <w:r w:rsidRPr="007F2031">
        <w:rPr>
          <w:rFonts w:hint="eastAsia"/>
        </w:rPr>
        <w:t>日前，針對</w:t>
      </w:r>
      <w:r>
        <w:rPr>
          <w:rFonts w:hint="eastAsia"/>
        </w:rPr>
        <w:t>消</w:t>
      </w:r>
      <w:r w:rsidRPr="007F2031">
        <w:rPr>
          <w:rFonts w:hint="eastAsia"/>
        </w:rPr>
        <w:t>防設施以外之土建項目缺失，就屬國防部之責任部分，依</w:t>
      </w:r>
      <w:r>
        <w:rPr>
          <w:rFonts w:hint="eastAsia"/>
        </w:rPr>
        <w:t>政府採</w:t>
      </w:r>
      <w:r w:rsidRPr="007F2031">
        <w:rPr>
          <w:rFonts w:hint="eastAsia"/>
        </w:rPr>
        <w:t>購法規定公開上網招商修繕作業。</w:t>
      </w:r>
    </w:p>
    <w:p w:rsidR="00CC6933" w:rsidRDefault="00CC6933" w:rsidP="00CC6933">
      <w:pPr>
        <w:pStyle w:val="3"/>
        <w:overflowPunct w:val="0"/>
        <w:ind w:left="1360" w:hanging="680"/>
        <w:rPr>
          <w:rFonts w:hint="eastAsia"/>
        </w:rPr>
      </w:pPr>
      <w:r>
        <w:rPr>
          <w:rFonts w:hint="eastAsia"/>
        </w:rPr>
        <w:t>綜上，有關消防</w:t>
      </w:r>
      <w:r>
        <w:rPr>
          <w:rFonts w:hint="eastAsia"/>
          <w:noProof/>
        </w:rPr>
        <w:t>設施</w:t>
      </w:r>
      <w:r>
        <w:rPr>
          <w:rFonts w:hint="eastAsia"/>
        </w:rPr>
        <w:t>外之土建項目缺失，國防部允應參酌</w:t>
      </w:r>
      <w:r>
        <w:rPr>
          <w:rFonts w:hint="eastAsia"/>
          <w:u w:color="000000"/>
        </w:rPr>
        <w:t>省建築師公會之鑑定建議</w:t>
      </w:r>
      <w:r>
        <w:rPr>
          <w:rFonts w:hint="eastAsia"/>
        </w:rPr>
        <w:t>，主動積極處理，以確實完成大鵬新城公共設施點交作業。</w:t>
      </w:r>
    </w:p>
    <w:p w:rsidR="00B16857" w:rsidRDefault="00B16857" w:rsidP="00B16857">
      <w:pPr>
        <w:pStyle w:val="3"/>
        <w:numPr>
          <w:ilvl w:val="0"/>
          <w:numId w:val="0"/>
        </w:numPr>
        <w:overflowPunct w:val="0"/>
        <w:ind w:left="1360"/>
        <w:rPr>
          <w:rFonts w:hint="eastAsia"/>
        </w:rPr>
      </w:pPr>
    </w:p>
    <w:p w:rsidR="007C6EC3" w:rsidRDefault="007C6EC3">
      <w:pPr>
        <w:pStyle w:val="11"/>
        <w:ind w:left="680" w:firstLine="680"/>
        <w:rPr>
          <w:bCs/>
        </w:rPr>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Start w:id="49" w:name="_Toc529222689"/>
      <w:bookmarkStart w:id="50" w:name="_Toc529223111"/>
      <w:bookmarkStart w:id="51" w:name="_Toc529223862"/>
      <w:bookmarkStart w:id="52" w:name="_Toc529228265"/>
      <w:bookmarkEnd w:id="33"/>
      <w:bookmarkEnd w:id="34"/>
      <w:bookmarkEnd w:id="35"/>
      <w:bookmarkEnd w:id="36"/>
      <w:bookmarkEnd w:id="37"/>
      <w:bookmarkEnd w:id="38"/>
      <w:r>
        <w:rPr>
          <w:rFonts w:hint="eastAsia"/>
          <w:bCs/>
        </w:rPr>
        <w:t>綜上所述，</w:t>
      </w:r>
      <w:r w:rsidR="00001725">
        <w:rPr>
          <w:rFonts w:hint="eastAsia"/>
          <w:noProof/>
        </w:rPr>
        <w:t>國防部身為</w:t>
      </w:r>
      <w:r w:rsidR="00001725" w:rsidRPr="00853055">
        <w:rPr>
          <w:rFonts w:hint="eastAsia"/>
          <w:noProof/>
        </w:rPr>
        <w:t>台中市大鵬新城社區眷村改建工程</w:t>
      </w:r>
      <w:r w:rsidR="00001725">
        <w:rPr>
          <w:rFonts w:hint="eastAsia"/>
          <w:noProof/>
        </w:rPr>
        <w:t>之起造人，遲至100年8月底始將該社區之</w:t>
      </w:r>
      <w:r w:rsidR="00001725">
        <w:rPr>
          <w:rFonts w:hint="eastAsia"/>
        </w:rPr>
        <w:t>消防設備移交予大鵬新城管理委員會</w:t>
      </w:r>
      <w:r w:rsidR="00001725">
        <w:rPr>
          <w:rFonts w:hint="eastAsia"/>
          <w:noProof/>
        </w:rPr>
        <w:t>，致該社區5年多來未有合格之消防設備</w:t>
      </w:r>
      <w:r w:rsidR="00001725">
        <w:rPr>
          <w:rFonts w:hint="eastAsia"/>
        </w:rPr>
        <w:t>，枉顧人民生命財產安全</w:t>
      </w:r>
      <w:r w:rsidR="00001725">
        <w:rPr>
          <w:rFonts w:hint="eastAsia"/>
          <w:noProof/>
        </w:rPr>
        <w:t>，且迄今仍未能完成該社區之</w:t>
      </w:r>
      <w:r w:rsidR="00001725">
        <w:rPr>
          <w:rFonts w:hint="eastAsia"/>
        </w:rPr>
        <w:t>公共設施點交作業</w:t>
      </w:r>
      <w:r w:rsidR="00001725">
        <w:rPr>
          <w:rFonts w:hint="eastAsia"/>
          <w:noProof/>
        </w:rPr>
        <w:t>，核有怠失</w:t>
      </w:r>
      <w:r w:rsidR="00C1196A">
        <w:rPr>
          <w:rFonts w:hint="eastAsia"/>
        </w:rPr>
        <w:t>，</w:t>
      </w:r>
      <w:r>
        <w:rPr>
          <w:rFonts w:hint="eastAsia"/>
          <w:bCs/>
        </w:rPr>
        <w:t>爰依監察法第24條提案糾正，移送行政院轉飭所屬確實檢討改善見復。</w:t>
      </w:r>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7C6EC3" w:rsidRPr="00F67C1B" w:rsidRDefault="007C6EC3" w:rsidP="00270620">
      <w:pPr>
        <w:ind w:leftChars="200" w:left="680" w:firstLineChars="200" w:firstLine="680"/>
        <w:rPr>
          <w:rFonts w:ascii="標楷體"/>
          <w:bCs/>
          <w:kern w:val="0"/>
        </w:rPr>
      </w:pPr>
    </w:p>
    <w:sectPr w:rsidR="007C6EC3" w:rsidRPr="00F67C1B" w:rsidSect="007A6EC9">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9B1" w:rsidRDefault="004339B1" w:rsidP="007C6EC3">
      <w:r>
        <w:separator/>
      </w:r>
    </w:p>
  </w:endnote>
  <w:endnote w:type="continuationSeparator" w:id="0">
    <w:p w:rsidR="004339B1" w:rsidRDefault="004339B1" w:rsidP="007C6EC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C3" w:rsidRDefault="0088015B">
    <w:pPr>
      <w:framePr w:wrap="around" w:vAnchor="text" w:hAnchor="margin" w:xAlign="center" w:y="1"/>
      <w:ind w:left="640" w:firstLine="400"/>
      <w:textDirection w:val="btLr"/>
      <w:rPr>
        <w:rStyle w:val="a5"/>
      </w:rPr>
    </w:pPr>
    <w:r>
      <w:rPr>
        <w:rStyle w:val="a5"/>
      </w:rPr>
      <w:fldChar w:fldCharType="begin"/>
    </w:r>
    <w:r w:rsidR="007C6EC3">
      <w:rPr>
        <w:rStyle w:val="a5"/>
      </w:rPr>
      <w:instrText xml:space="preserve">PAGE  </w:instrText>
    </w:r>
    <w:r>
      <w:rPr>
        <w:rStyle w:val="a5"/>
      </w:rPr>
      <w:fldChar w:fldCharType="separate"/>
    </w:r>
    <w:r w:rsidR="007C6EC3">
      <w:rPr>
        <w:rStyle w:val="a5"/>
        <w:noProof/>
      </w:rPr>
      <w:t>3</w:t>
    </w:r>
    <w:r>
      <w:rPr>
        <w:rStyle w:val="a5"/>
      </w:rPr>
      <w:fldChar w:fldCharType="end"/>
    </w:r>
  </w:p>
  <w:p w:rsidR="007C6EC3" w:rsidRDefault="007C6EC3">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C3" w:rsidRDefault="0088015B">
    <w:pPr>
      <w:pStyle w:val="a8"/>
      <w:framePr w:wrap="around" w:vAnchor="text" w:hAnchor="margin" w:xAlign="center" w:y="1"/>
      <w:rPr>
        <w:rStyle w:val="a5"/>
        <w:sz w:val="24"/>
      </w:rPr>
    </w:pPr>
    <w:r>
      <w:rPr>
        <w:rStyle w:val="a5"/>
        <w:sz w:val="24"/>
      </w:rPr>
      <w:fldChar w:fldCharType="begin"/>
    </w:r>
    <w:r w:rsidR="007C6EC3">
      <w:rPr>
        <w:rStyle w:val="a5"/>
        <w:sz w:val="24"/>
      </w:rPr>
      <w:instrText xml:space="preserve">PAGE  </w:instrText>
    </w:r>
    <w:r>
      <w:rPr>
        <w:rStyle w:val="a5"/>
        <w:sz w:val="24"/>
      </w:rPr>
      <w:fldChar w:fldCharType="separate"/>
    </w:r>
    <w:r w:rsidR="00B16857">
      <w:rPr>
        <w:rStyle w:val="a5"/>
        <w:noProof/>
        <w:sz w:val="24"/>
      </w:rPr>
      <w:t>5</w:t>
    </w:r>
    <w:r>
      <w:rPr>
        <w:rStyle w:val="a5"/>
        <w:sz w:val="24"/>
      </w:rPr>
      <w:fldChar w:fldCharType="end"/>
    </w:r>
  </w:p>
  <w:p w:rsidR="007C6EC3" w:rsidRDefault="007C6EC3">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9B1" w:rsidRDefault="004339B1" w:rsidP="007C6EC3">
      <w:r>
        <w:separator/>
      </w:r>
    </w:p>
  </w:footnote>
  <w:footnote w:type="continuationSeparator" w:id="0">
    <w:p w:rsidR="004339B1" w:rsidRDefault="004339B1" w:rsidP="007C6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F550B0F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569EF"/>
    <w:rsid w:val="00001725"/>
    <w:rsid w:val="00010165"/>
    <w:rsid w:val="00035BB9"/>
    <w:rsid w:val="00071413"/>
    <w:rsid w:val="00074F1C"/>
    <w:rsid w:val="000F3604"/>
    <w:rsid w:val="000F578F"/>
    <w:rsid w:val="00124E19"/>
    <w:rsid w:val="001326A6"/>
    <w:rsid w:val="001400E7"/>
    <w:rsid w:val="001950F8"/>
    <w:rsid w:val="001A69B1"/>
    <w:rsid w:val="001B7CA9"/>
    <w:rsid w:val="001E4639"/>
    <w:rsid w:val="00261D1E"/>
    <w:rsid w:val="00267BE3"/>
    <w:rsid w:val="00270620"/>
    <w:rsid w:val="00295208"/>
    <w:rsid w:val="002F10F1"/>
    <w:rsid w:val="002F479E"/>
    <w:rsid w:val="002F4C1B"/>
    <w:rsid w:val="003151F3"/>
    <w:rsid w:val="00326599"/>
    <w:rsid w:val="00332B3B"/>
    <w:rsid w:val="00355D24"/>
    <w:rsid w:val="00365A63"/>
    <w:rsid w:val="00394EDB"/>
    <w:rsid w:val="003D1B86"/>
    <w:rsid w:val="003E6A67"/>
    <w:rsid w:val="00400284"/>
    <w:rsid w:val="004339B1"/>
    <w:rsid w:val="0049327C"/>
    <w:rsid w:val="00494ED7"/>
    <w:rsid w:val="004A5D6F"/>
    <w:rsid w:val="004A74EB"/>
    <w:rsid w:val="00512EE6"/>
    <w:rsid w:val="005157B6"/>
    <w:rsid w:val="005F7034"/>
    <w:rsid w:val="00662BD6"/>
    <w:rsid w:val="00722612"/>
    <w:rsid w:val="00757D7E"/>
    <w:rsid w:val="007A6EC9"/>
    <w:rsid w:val="007B13D4"/>
    <w:rsid w:val="007B7A0A"/>
    <w:rsid w:val="007C6EC3"/>
    <w:rsid w:val="0084614E"/>
    <w:rsid w:val="00856EAF"/>
    <w:rsid w:val="0086671E"/>
    <w:rsid w:val="0088015B"/>
    <w:rsid w:val="00892404"/>
    <w:rsid w:val="00894A30"/>
    <w:rsid w:val="008A17E4"/>
    <w:rsid w:val="008C594E"/>
    <w:rsid w:val="008D2FDE"/>
    <w:rsid w:val="008F337C"/>
    <w:rsid w:val="008F74D1"/>
    <w:rsid w:val="00902796"/>
    <w:rsid w:val="009569EF"/>
    <w:rsid w:val="009A370A"/>
    <w:rsid w:val="009D18E7"/>
    <w:rsid w:val="009E0E61"/>
    <w:rsid w:val="009F6B62"/>
    <w:rsid w:val="00A264B6"/>
    <w:rsid w:val="00AB2F54"/>
    <w:rsid w:val="00AC50E4"/>
    <w:rsid w:val="00AD5C2F"/>
    <w:rsid w:val="00AF394F"/>
    <w:rsid w:val="00B16857"/>
    <w:rsid w:val="00B41012"/>
    <w:rsid w:val="00B61AB6"/>
    <w:rsid w:val="00BB2EAF"/>
    <w:rsid w:val="00BC3C5E"/>
    <w:rsid w:val="00BC4713"/>
    <w:rsid w:val="00BD4398"/>
    <w:rsid w:val="00BE29FD"/>
    <w:rsid w:val="00BF28F0"/>
    <w:rsid w:val="00C01619"/>
    <w:rsid w:val="00C1196A"/>
    <w:rsid w:val="00C20E20"/>
    <w:rsid w:val="00C54B21"/>
    <w:rsid w:val="00C940A3"/>
    <w:rsid w:val="00CB17AB"/>
    <w:rsid w:val="00CC6933"/>
    <w:rsid w:val="00CE7C4F"/>
    <w:rsid w:val="00D06540"/>
    <w:rsid w:val="00D155A6"/>
    <w:rsid w:val="00DC4A1D"/>
    <w:rsid w:val="00E5405C"/>
    <w:rsid w:val="00E66166"/>
    <w:rsid w:val="00E77E56"/>
    <w:rsid w:val="00EC068C"/>
    <w:rsid w:val="00EC4A18"/>
    <w:rsid w:val="00EE628F"/>
    <w:rsid w:val="00F0070B"/>
    <w:rsid w:val="00F06695"/>
    <w:rsid w:val="00F67C1B"/>
    <w:rsid w:val="00F73AEF"/>
    <w:rsid w:val="00F96298"/>
    <w:rsid w:val="00FC2F94"/>
    <w:rsid w:val="00FF11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DE"/>
    <w:pPr>
      <w:widowControl w:val="0"/>
      <w:kinsoku w:val="0"/>
      <w:autoSpaceDE w:val="0"/>
      <w:autoSpaceDN w:val="0"/>
    </w:pPr>
    <w:rPr>
      <w:rFonts w:eastAsia="標楷體"/>
      <w:kern w:val="2"/>
      <w:sz w:val="32"/>
    </w:rPr>
  </w:style>
  <w:style w:type="paragraph" w:styleId="1">
    <w:name w:val="heading 1"/>
    <w:basedOn w:val="a"/>
    <w:qFormat/>
    <w:rsid w:val="008D2FDE"/>
    <w:pPr>
      <w:numPr>
        <w:numId w:val="1"/>
      </w:numPr>
      <w:jc w:val="both"/>
      <w:outlineLvl w:val="0"/>
    </w:pPr>
    <w:rPr>
      <w:rFonts w:ascii="標楷體" w:hAnsi="Arial"/>
      <w:bCs/>
      <w:kern w:val="0"/>
      <w:szCs w:val="52"/>
    </w:rPr>
  </w:style>
  <w:style w:type="paragraph" w:styleId="2">
    <w:name w:val="heading 2"/>
    <w:basedOn w:val="a"/>
    <w:qFormat/>
    <w:rsid w:val="008D2FDE"/>
    <w:pPr>
      <w:numPr>
        <w:ilvl w:val="1"/>
        <w:numId w:val="1"/>
      </w:numPr>
      <w:jc w:val="both"/>
      <w:outlineLvl w:val="1"/>
    </w:pPr>
    <w:rPr>
      <w:rFonts w:ascii="標楷體" w:hAnsi="Arial"/>
      <w:bCs/>
      <w:kern w:val="0"/>
      <w:szCs w:val="48"/>
    </w:rPr>
  </w:style>
  <w:style w:type="paragraph" w:styleId="3">
    <w:name w:val="heading 3"/>
    <w:basedOn w:val="a"/>
    <w:qFormat/>
    <w:rsid w:val="008D2FDE"/>
    <w:pPr>
      <w:numPr>
        <w:ilvl w:val="2"/>
        <w:numId w:val="1"/>
      </w:numPr>
      <w:jc w:val="both"/>
      <w:outlineLvl w:val="2"/>
    </w:pPr>
    <w:rPr>
      <w:rFonts w:ascii="標楷體" w:hAnsi="Arial"/>
      <w:bCs/>
      <w:kern w:val="0"/>
      <w:szCs w:val="36"/>
    </w:rPr>
  </w:style>
  <w:style w:type="paragraph" w:styleId="4">
    <w:name w:val="heading 4"/>
    <w:basedOn w:val="a"/>
    <w:qFormat/>
    <w:rsid w:val="008D2FDE"/>
    <w:pPr>
      <w:numPr>
        <w:ilvl w:val="3"/>
        <w:numId w:val="1"/>
      </w:numPr>
      <w:jc w:val="both"/>
      <w:outlineLvl w:val="3"/>
    </w:pPr>
    <w:rPr>
      <w:rFonts w:ascii="標楷體" w:hAnsi="Arial"/>
      <w:szCs w:val="36"/>
    </w:rPr>
  </w:style>
  <w:style w:type="paragraph" w:styleId="5">
    <w:name w:val="heading 5"/>
    <w:basedOn w:val="a"/>
    <w:qFormat/>
    <w:rsid w:val="008D2FDE"/>
    <w:pPr>
      <w:numPr>
        <w:ilvl w:val="4"/>
        <w:numId w:val="1"/>
      </w:numPr>
      <w:jc w:val="both"/>
      <w:outlineLvl w:val="4"/>
    </w:pPr>
    <w:rPr>
      <w:rFonts w:ascii="標楷體" w:hAnsi="Arial"/>
      <w:bCs/>
      <w:szCs w:val="36"/>
    </w:rPr>
  </w:style>
  <w:style w:type="paragraph" w:styleId="6">
    <w:name w:val="heading 6"/>
    <w:basedOn w:val="a"/>
    <w:qFormat/>
    <w:rsid w:val="008D2FDE"/>
    <w:pPr>
      <w:numPr>
        <w:ilvl w:val="5"/>
        <w:numId w:val="1"/>
      </w:numPr>
      <w:tabs>
        <w:tab w:val="left" w:pos="2094"/>
      </w:tabs>
      <w:jc w:val="both"/>
      <w:outlineLvl w:val="5"/>
    </w:pPr>
    <w:rPr>
      <w:rFonts w:ascii="標楷體" w:hAnsi="Arial"/>
      <w:szCs w:val="36"/>
    </w:rPr>
  </w:style>
  <w:style w:type="paragraph" w:styleId="7">
    <w:name w:val="heading 7"/>
    <w:basedOn w:val="a"/>
    <w:qFormat/>
    <w:rsid w:val="008D2FDE"/>
    <w:pPr>
      <w:numPr>
        <w:ilvl w:val="6"/>
        <w:numId w:val="1"/>
      </w:numPr>
      <w:jc w:val="both"/>
      <w:outlineLvl w:val="6"/>
    </w:pPr>
    <w:rPr>
      <w:rFonts w:ascii="標楷體" w:hAnsi="Arial"/>
      <w:bCs/>
      <w:szCs w:val="36"/>
    </w:rPr>
  </w:style>
  <w:style w:type="paragraph" w:styleId="8">
    <w:name w:val="heading 8"/>
    <w:basedOn w:val="a"/>
    <w:qFormat/>
    <w:rsid w:val="008D2FDE"/>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8D2FDE"/>
    <w:pPr>
      <w:ind w:leftChars="400" w:left="400"/>
    </w:pPr>
  </w:style>
  <w:style w:type="paragraph" w:customStyle="1" w:styleId="20">
    <w:name w:val="段落樣式2"/>
    <w:basedOn w:val="a"/>
    <w:rsid w:val="008D2FDE"/>
    <w:pPr>
      <w:tabs>
        <w:tab w:val="left" w:pos="567"/>
      </w:tabs>
      <w:ind w:leftChars="300" w:left="300" w:firstLineChars="200" w:firstLine="200"/>
      <w:jc w:val="both"/>
    </w:pPr>
    <w:rPr>
      <w:rFonts w:ascii="標楷體"/>
      <w:kern w:val="0"/>
    </w:rPr>
  </w:style>
  <w:style w:type="paragraph" w:customStyle="1" w:styleId="40">
    <w:name w:val="段落樣式4"/>
    <w:basedOn w:val="30"/>
    <w:rsid w:val="008D2FDE"/>
    <w:pPr>
      <w:ind w:leftChars="500" w:left="500"/>
    </w:pPr>
  </w:style>
  <w:style w:type="paragraph" w:customStyle="1" w:styleId="50">
    <w:name w:val="段落樣式5"/>
    <w:basedOn w:val="40"/>
    <w:rsid w:val="008D2FDE"/>
    <w:pPr>
      <w:ind w:leftChars="600" w:left="600"/>
    </w:pPr>
  </w:style>
  <w:style w:type="paragraph" w:customStyle="1" w:styleId="60">
    <w:name w:val="段落樣式6"/>
    <w:basedOn w:val="50"/>
    <w:rsid w:val="008D2FDE"/>
    <w:pPr>
      <w:ind w:leftChars="700" w:left="700"/>
    </w:pPr>
  </w:style>
  <w:style w:type="paragraph" w:customStyle="1" w:styleId="70">
    <w:name w:val="段落樣式7"/>
    <w:basedOn w:val="60"/>
    <w:rsid w:val="008D2FDE"/>
  </w:style>
  <w:style w:type="paragraph" w:customStyle="1" w:styleId="80">
    <w:name w:val="段落樣式8"/>
    <w:basedOn w:val="70"/>
    <w:rsid w:val="008D2FDE"/>
    <w:pPr>
      <w:ind w:leftChars="800" w:left="800"/>
    </w:pPr>
  </w:style>
  <w:style w:type="paragraph" w:styleId="a3">
    <w:name w:val="Signature"/>
    <w:basedOn w:val="a"/>
    <w:semiHidden/>
    <w:rsid w:val="008D2FDE"/>
    <w:pPr>
      <w:spacing w:before="720" w:after="720"/>
      <w:ind w:left="7371"/>
    </w:pPr>
    <w:rPr>
      <w:rFonts w:ascii="標楷體"/>
      <w:b/>
      <w:snapToGrid w:val="0"/>
      <w:spacing w:val="10"/>
      <w:sz w:val="36"/>
    </w:rPr>
  </w:style>
  <w:style w:type="paragraph" w:styleId="a4">
    <w:name w:val="endnote text"/>
    <w:basedOn w:val="a"/>
    <w:semiHidden/>
    <w:rsid w:val="008D2FDE"/>
    <w:pPr>
      <w:spacing w:before="240"/>
      <w:ind w:left="1021" w:hanging="1021"/>
      <w:jc w:val="both"/>
    </w:pPr>
    <w:rPr>
      <w:rFonts w:ascii="標楷體"/>
      <w:snapToGrid w:val="0"/>
      <w:spacing w:val="10"/>
    </w:rPr>
  </w:style>
  <w:style w:type="character" w:styleId="a5">
    <w:name w:val="page number"/>
    <w:basedOn w:val="a0"/>
    <w:semiHidden/>
    <w:rsid w:val="008D2FDE"/>
    <w:rPr>
      <w:rFonts w:ascii="標楷體" w:eastAsia="標楷體"/>
      <w:sz w:val="20"/>
    </w:rPr>
  </w:style>
  <w:style w:type="paragraph" w:styleId="10">
    <w:name w:val="toc 1"/>
    <w:basedOn w:val="a"/>
    <w:next w:val="a"/>
    <w:semiHidden/>
    <w:rsid w:val="008D2FDE"/>
    <w:pPr>
      <w:ind w:left="200" w:hangingChars="200" w:hanging="200"/>
      <w:jc w:val="both"/>
    </w:pPr>
    <w:rPr>
      <w:rFonts w:ascii="標楷體"/>
    </w:rPr>
  </w:style>
  <w:style w:type="paragraph" w:styleId="21">
    <w:name w:val="toc 2"/>
    <w:basedOn w:val="a"/>
    <w:next w:val="a"/>
    <w:autoRedefine/>
    <w:semiHidden/>
    <w:rsid w:val="008D2FDE"/>
    <w:pPr>
      <w:ind w:leftChars="100" w:left="300" w:hangingChars="200" w:hanging="200"/>
      <w:jc w:val="both"/>
    </w:pPr>
    <w:rPr>
      <w:rFonts w:ascii="標楷體"/>
    </w:rPr>
  </w:style>
  <w:style w:type="paragraph" w:styleId="31">
    <w:name w:val="toc 3"/>
    <w:basedOn w:val="a"/>
    <w:next w:val="a"/>
    <w:semiHidden/>
    <w:rsid w:val="008D2FDE"/>
    <w:pPr>
      <w:ind w:leftChars="200" w:left="400" w:hangingChars="200" w:hanging="200"/>
      <w:jc w:val="both"/>
    </w:pPr>
    <w:rPr>
      <w:rFonts w:ascii="標楷體"/>
      <w:noProof/>
    </w:rPr>
  </w:style>
  <w:style w:type="paragraph" w:styleId="41">
    <w:name w:val="toc 4"/>
    <w:basedOn w:val="a"/>
    <w:next w:val="a"/>
    <w:semiHidden/>
    <w:rsid w:val="008D2FDE"/>
    <w:pPr>
      <w:ind w:leftChars="300" w:left="500" w:hangingChars="200" w:hanging="200"/>
      <w:jc w:val="both"/>
    </w:pPr>
    <w:rPr>
      <w:rFonts w:ascii="標楷體"/>
    </w:rPr>
  </w:style>
  <w:style w:type="paragraph" w:styleId="51">
    <w:name w:val="toc 5"/>
    <w:basedOn w:val="a"/>
    <w:next w:val="a"/>
    <w:autoRedefine/>
    <w:semiHidden/>
    <w:rsid w:val="008D2FDE"/>
    <w:pPr>
      <w:ind w:leftChars="400" w:left="600" w:hangingChars="200" w:hanging="200"/>
      <w:jc w:val="both"/>
    </w:pPr>
    <w:rPr>
      <w:rFonts w:ascii="標楷體"/>
    </w:rPr>
  </w:style>
  <w:style w:type="paragraph" w:styleId="61">
    <w:name w:val="toc 6"/>
    <w:basedOn w:val="a"/>
    <w:next w:val="a"/>
    <w:autoRedefine/>
    <w:semiHidden/>
    <w:rsid w:val="008D2FDE"/>
    <w:pPr>
      <w:ind w:leftChars="500" w:left="700" w:hangingChars="200" w:hanging="200"/>
    </w:pPr>
    <w:rPr>
      <w:rFonts w:ascii="標楷體"/>
    </w:rPr>
  </w:style>
  <w:style w:type="paragraph" w:styleId="71">
    <w:name w:val="toc 7"/>
    <w:basedOn w:val="a"/>
    <w:next w:val="a"/>
    <w:autoRedefine/>
    <w:semiHidden/>
    <w:rsid w:val="008D2FDE"/>
    <w:pPr>
      <w:ind w:leftChars="600" w:left="700" w:hangingChars="100" w:hanging="100"/>
    </w:pPr>
    <w:rPr>
      <w:rFonts w:ascii="標楷體"/>
    </w:rPr>
  </w:style>
  <w:style w:type="paragraph" w:styleId="81">
    <w:name w:val="toc 8"/>
    <w:basedOn w:val="a"/>
    <w:next w:val="a"/>
    <w:autoRedefine/>
    <w:semiHidden/>
    <w:rsid w:val="008D2FDE"/>
    <w:pPr>
      <w:ind w:leftChars="700" w:left="2792" w:hangingChars="100" w:hanging="349"/>
    </w:pPr>
    <w:rPr>
      <w:rFonts w:ascii="標楷體"/>
    </w:rPr>
  </w:style>
  <w:style w:type="paragraph" w:styleId="9">
    <w:name w:val="toc 9"/>
    <w:basedOn w:val="a"/>
    <w:next w:val="a"/>
    <w:autoRedefine/>
    <w:semiHidden/>
    <w:rsid w:val="008D2FDE"/>
    <w:pPr>
      <w:ind w:leftChars="1600" w:left="3840"/>
    </w:pPr>
  </w:style>
  <w:style w:type="character" w:styleId="a6">
    <w:name w:val="Hyperlink"/>
    <w:basedOn w:val="a0"/>
    <w:semiHidden/>
    <w:rsid w:val="008D2FDE"/>
    <w:rPr>
      <w:color w:val="0000FF"/>
      <w:u w:val="single"/>
    </w:rPr>
  </w:style>
  <w:style w:type="paragraph" w:customStyle="1" w:styleId="11">
    <w:name w:val="段落樣式1"/>
    <w:basedOn w:val="a"/>
    <w:rsid w:val="008D2FDE"/>
    <w:pPr>
      <w:tabs>
        <w:tab w:val="left" w:pos="567"/>
      </w:tabs>
      <w:ind w:leftChars="200" w:left="200" w:firstLineChars="200" w:firstLine="200"/>
      <w:jc w:val="both"/>
    </w:pPr>
    <w:rPr>
      <w:rFonts w:ascii="標楷體"/>
      <w:kern w:val="0"/>
    </w:rPr>
  </w:style>
  <w:style w:type="paragraph" w:customStyle="1" w:styleId="0">
    <w:name w:val="段落樣式0"/>
    <w:basedOn w:val="20"/>
    <w:rsid w:val="008D2FDE"/>
    <w:pPr>
      <w:ind w:leftChars="200" w:left="200" w:firstLineChars="0" w:firstLine="0"/>
    </w:pPr>
  </w:style>
  <w:style w:type="paragraph" w:styleId="a7">
    <w:name w:val="header"/>
    <w:basedOn w:val="a"/>
    <w:semiHidden/>
    <w:rsid w:val="008D2FDE"/>
    <w:pPr>
      <w:tabs>
        <w:tab w:val="center" w:pos="4153"/>
        <w:tab w:val="right" w:pos="8306"/>
      </w:tabs>
      <w:snapToGrid w:val="0"/>
    </w:pPr>
    <w:rPr>
      <w:sz w:val="20"/>
    </w:rPr>
  </w:style>
  <w:style w:type="paragraph" w:styleId="a8">
    <w:name w:val="footer"/>
    <w:basedOn w:val="a"/>
    <w:semiHidden/>
    <w:rsid w:val="008D2FDE"/>
    <w:pPr>
      <w:tabs>
        <w:tab w:val="center" w:pos="4153"/>
        <w:tab w:val="right" w:pos="8306"/>
      </w:tabs>
      <w:snapToGrid w:val="0"/>
    </w:pPr>
    <w:rPr>
      <w:sz w:val="20"/>
    </w:rPr>
  </w:style>
  <w:style w:type="paragraph" w:customStyle="1" w:styleId="a9">
    <w:name w:val="簽名日期"/>
    <w:basedOn w:val="a"/>
    <w:rsid w:val="008D2FDE"/>
    <w:pPr>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5</Pages>
  <Words>2720</Words>
  <Characters>38</Characters>
  <Application>Microsoft Office Word</Application>
  <DocSecurity>0</DocSecurity>
  <Lines>1</Lines>
  <Paragraphs>5</Paragraphs>
  <ScaleCrop>false</ScaleCrop>
  <Company>cy</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t870</dc:creator>
  <cp:lastModifiedBy>Administrator</cp:lastModifiedBy>
  <cp:revision>5</cp:revision>
  <cp:lastPrinted>2011-09-21T01:00:00Z</cp:lastPrinted>
  <dcterms:created xsi:type="dcterms:W3CDTF">2011-10-27T06:38:00Z</dcterms:created>
  <dcterms:modified xsi:type="dcterms:W3CDTF">2011-10-31T03:44:00Z</dcterms:modified>
</cp:coreProperties>
</file>